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Прейскурант 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услуги и работы, выполняемые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Акционерным обществом «Особая экономическая зона «Титановая долина» 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(АО «ОЭЗ «Титановая долина»)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работы в области строительства на территории Особой экономической зона промышленно-производственного типа, созданной на территориях муниципальных образований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Верхнесалдинский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округ,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и «город Екатеринбург» Свердловской области (далее – ОЭЗ).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56"/>
        <w:gridCol w:w="7115"/>
        <w:gridCol w:w="2324"/>
      </w:tblGrid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2B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14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Стоимость, с учетом НДС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Услуги по комплексному сопровождению строительства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подрядчиком, проектной организацией, государственными органами,</w:t>
            </w: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всех этапах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включая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работы), в том числе отдельные услуги по этапам:</w:t>
            </w:r>
          </w:p>
        </w:tc>
        <w:tc>
          <w:tcPr>
            <w:tcW w:w="114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от стоимости СМР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4638" w:type="pct"/>
            <w:gridSpan w:val="2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строительству:</w:t>
            </w:r>
          </w:p>
        </w:tc>
      </w:tr>
      <w:tr w:rsidR="00422BED" w:rsidRPr="00422BED" w:rsidTr="00A54A27">
        <w:trPr>
          <w:trHeight w:val="319"/>
        </w:trPr>
        <w:tc>
          <w:tcPr>
            <w:tcW w:w="362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геодезической разбивочной основы</w:t>
            </w:r>
          </w:p>
        </w:tc>
        <w:tc>
          <w:tcPr>
            <w:tcW w:w="1144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22BED" w:rsidRPr="00422BED" w:rsidTr="00A54A27">
        <w:trPr>
          <w:trHeight w:val="409"/>
        </w:trPr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внутренней разбивочной сети зданий и сооружений</w:t>
            </w:r>
          </w:p>
        </w:tc>
        <w:tc>
          <w:tcPr>
            <w:tcW w:w="1144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комплекта документов и получение разрешения на строительство в Администрации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округов (4 рабочих дня)</w:t>
            </w:r>
          </w:p>
        </w:tc>
        <w:tc>
          <w:tcPr>
            <w:tcW w:w="114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 руб.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1.1.3</w:t>
            </w: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2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хода строительства:</w:t>
            </w:r>
          </w:p>
        </w:tc>
      </w:tr>
      <w:tr w:rsidR="00422BED" w:rsidRPr="00422BED" w:rsidTr="00A54A27">
        <w:trPr>
          <w:trHeight w:val="838"/>
        </w:trPr>
        <w:tc>
          <w:tcPr>
            <w:tcW w:w="362" w:type="pct"/>
            <w:vMerge w:val="restart"/>
            <w:tcBorders>
              <w:bottom w:val="single" w:sz="4" w:space="0" w:color="auto"/>
            </w:tcBorders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tcBorders>
              <w:bottom w:val="single" w:sz="4" w:space="0" w:color="auto"/>
            </w:tcBorders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</w:t>
            </w:r>
          </w:p>
        </w:tc>
        <w:tc>
          <w:tcPr>
            <w:tcW w:w="1144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от стоимости СМР</w:t>
            </w: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контроль и технический надзор за строительством, разработка, экспертиза технических заданий для подрядчиков</w:t>
            </w:r>
          </w:p>
        </w:tc>
        <w:tc>
          <w:tcPr>
            <w:tcW w:w="1144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земляных работ (разработка и перемещение грунта, вывоз и складирование излишков грунта) по индивидуальному запросу</w:t>
            </w:r>
          </w:p>
        </w:tc>
        <w:tc>
          <w:tcPr>
            <w:tcW w:w="1144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параметрами объекта</w:t>
            </w:r>
          </w:p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периметра земельного участка</w:t>
            </w:r>
          </w:p>
        </w:tc>
        <w:tc>
          <w:tcPr>
            <w:tcW w:w="1144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Геодезический контроль при строительстве зданий и сооружений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за деформациями отдельных элементов конструкции и объекта в целом.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Подсчеты объема земляных масс на объекте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Планово-высотная съемка свайного поля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Исполнительная съемка железобетонных конструкций, в том числе закладных деталей и анкерных групп, и металлических конструкций (колонн, фахверков, ферм и др.)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4638" w:type="pct"/>
            <w:gridSpan w:val="2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документации для ввода в эксплуатацию (исполнительная документация, технический план)</w:t>
            </w:r>
          </w:p>
        </w:tc>
        <w:tc>
          <w:tcPr>
            <w:tcW w:w="1144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комплекта документов и получение разрешения на ввод объекта в эксплуатацию в Администрации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округов (4 рабочих дня)</w:t>
            </w:r>
          </w:p>
        </w:tc>
        <w:tc>
          <w:tcPr>
            <w:tcW w:w="1144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 руб.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-142" w:firstLine="6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Услуги, работы в области эксплуатации зданий, сооружений на территории ОЭЗ.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37"/>
        <w:gridCol w:w="4007"/>
        <w:gridCol w:w="3118"/>
        <w:gridCol w:w="2333"/>
      </w:tblGrid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38" w:type="pct"/>
            <w:gridSpan w:val="3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внутренних систем сетей инженерно-технического обеспечения зданий и сооружений: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 w:val="restar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электрических сетей, электроустановок и электрического оборудования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Электромонтер, рублей/человеко-час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систем водоснабжения и канализации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Слесарь-сантехник, рублей/человеко-час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контрольно-измерительных приборов и автоматики (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автоматике, рублей/человеко-час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422BED" w:rsidRPr="00422BED" w:rsidTr="00A54A27">
        <w:trPr>
          <w:trHeight w:val="435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«Ответственный за электрохозяйство»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Главный энергетик,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техническим заданием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электротехнической лаборатории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Главный энергетик,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лабораторного и химического анализа воды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и техники безопасности,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по организации обеспечения пожарной безопасности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Инженер по пожарной безопасности,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4" w:type="pct"/>
            <w:gridSpan w:val="2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сервисного обслуживания инженерно-технических коммуникаций, оборудования и приборов учета в помещениях.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оценка состояния, рекомендации по эксплуатации, организация ремонта оборудования, обслуживания, поверки приборов учета, подготовки к отопительному сезону </w:t>
            </w:r>
            <w:r w:rsidRPr="00422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узлов учета и индивидуально тепловых пунктов - ИТП)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94" w:type="pct"/>
            <w:gridSpan w:val="2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техническое обслуживание автодорожной инфраструктуры на территории ОЭЗ (механизированная уборка автодорог, проездов и площадок от снега и грязи; обеспечение уличного освещения автодорог, проездов и площадок; обеспечение охраны и организации пропускного 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режима на территории ОЭЗ)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 руб. в месяц за 1 Га площади участка резидента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38" w:type="pct"/>
            <w:gridSpan w:val="3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по предоставлению спецтехники (с экипажем):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 w:val="restart"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спецтехники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Трактор МТЗ 82.1 «</w:t>
            </w:r>
            <w:proofErr w:type="spellStart"/>
            <w:r w:rsidRPr="00422BED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422BED">
              <w:rPr>
                <w:rFonts w:ascii="Times New Roman" w:hAnsi="Times New Roman"/>
                <w:sz w:val="24"/>
                <w:szCs w:val="24"/>
              </w:rPr>
              <w:t>» с оборудованием (прицеп, ковш, щетка)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Смещение грунта, уборка снега, чистка дорог, грузоперевозки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руб.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Экскаватор-погрузчик </w:t>
            </w:r>
            <w:r w:rsidRPr="00422BED">
              <w:rPr>
                <w:rFonts w:ascii="Times New Roman" w:hAnsi="Times New Roman"/>
                <w:sz w:val="24"/>
                <w:szCs w:val="24"/>
                <w:lang w:val="en-US"/>
              </w:rPr>
              <w:t>JCB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Рытье и смещение грунта, уборка снега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руб.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Самосвал бортовой </w:t>
            </w:r>
            <w:r w:rsidRPr="00422BED">
              <w:rPr>
                <w:rFonts w:ascii="Times New Roman" w:hAnsi="Times New Roman"/>
                <w:sz w:val="24"/>
                <w:szCs w:val="24"/>
                <w:lang w:val="en-US"/>
              </w:rPr>
              <w:t>KAMAZ</w:t>
            </w:r>
            <w:r w:rsidRPr="00422BED">
              <w:rPr>
                <w:rFonts w:ascii="Times New Roman" w:hAnsi="Times New Roman"/>
                <w:sz w:val="24"/>
                <w:szCs w:val="24"/>
              </w:rPr>
              <w:t>, грузоподъемность от 5 тонн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Грузоперевозки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руб.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494" w:type="pct"/>
            <w:gridSpan w:val="2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Предоставление парковочного места для спецтехники за пределами участка Резидента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руб./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 руб./мес.</w:t>
            </w:r>
          </w:p>
        </w:tc>
      </w:tr>
    </w:tbl>
    <w:p w:rsidR="00422BED" w:rsidRPr="00422BED" w:rsidRDefault="00422BED" w:rsidP="00422B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услуги.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1"/>
        <w:gridCol w:w="7102"/>
        <w:gridCol w:w="2282"/>
      </w:tblGrid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3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1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02" w:type="pct"/>
            <w:gridSpan w:val="2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Подбор персонала: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резюме кандидатов, откликнувшихся на вакансии компании резидента с помощью веб-сайта АО «Титановая долина»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Топ-менеджеры, руководители высшего звена: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работника, 1 вакансия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18% годового дохода работника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 ИТР: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работника, 1 вакансия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21 000 руб. до 15 % годового дохода работника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и массовые позиции: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1 вакансия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02" w:type="pct"/>
            <w:gridSpan w:val="2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Консалтинговые услуги:</w:t>
            </w: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аналитических обзоров, маркетинговых исследований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50 000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ind w:right="74"/>
              <w:rPr>
                <w:rFonts w:ascii="Calibri Light" w:hAnsi="Calibri Light" w:cs="Arial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вопросам связанных с формированием кадрового резерва, подбором и оценкой персонала, повышением профессионального уровня сотрудников, внедрение изменений, изменение системы мотивации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ind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личностных особенностей персонала (поведение в профессиональной деятельности, стили руководства, психологическое тестирование)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 инвестиционного проекта для последующего предоставления в Минэкономразвития России, кредитные организации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определение мер поддержки по инвестиционной и экономической деятельности компании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недвижимого имущества, в том числе земельных участков в границах ОЭЗ (для резидентов ОЭЗ).</w:t>
      </w:r>
    </w:p>
    <w:p w:rsidR="00422BED" w:rsidRPr="00422BED" w:rsidRDefault="00422BED" w:rsidP="00422BED">
      <w:p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1"/>
          <w:numId w:val="1"/>
        </w:num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0" w:name="_Hlk26544013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земельных участков</w:t>
      </w:r>
      <w:bookmarkEnd w:id="0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территории муниципального образования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Верхнесалдинский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Свердловской области, </w:t>
      </w:r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находящихся в собственности Свердловской области.</w:t>
      </w:r>
    </w:p>
    <w:p w:rsidR="00422BED" w:rsidRPr="00422BED" w:rsidRDefault="00422BED" w:rsidP="00422B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4" w:type="dxa"/>
        <w:tblInd w:w="13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4861"/>
        <w:gridCol w:w="4327"/>
      </w:tblGrid>
      <w:tr w:rsidR="00422BED" w:rsidRPr="00422BED" w:rsidTr="00A54A27">
        <w:trPr>
          <w:trHeight w:val="252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1" w:type="dxa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27" w:type="dxa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22BED" w:rsidRPr="00422BED" w:rsidTr="00A54A27">
        <w:trPr>
          <w:trHeight w:val="1290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4861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Аренда участка</w:t>
            </w:r>
          </w:p>
        </w:tc>
        <w:tc>
          <w:tcPr>
            <w:tcW w:w="4327" w:type="dxa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Макс.: 72 396 руб./Га в год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Мин.: 21 784 руб./Га в год 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1024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4861" w:type="dxa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Стоимость выкупа земельного участка после ввода в эксплуатацию объекта недвижимости, созданного резидентом на арендуемом земельном участке</w:t>
            </w:r>
          </w:p>
        </w:tc>
        <w:tc>
          <w:tcPr>
            <w:tcW w:w="4327" w:type="dxa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7% от кадастровой стоимости **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 xml:space="preserve">* В соответствии с методикой расчета арендной платы, утв. Приложением 2 к Приказу Минэкономразвития России от 14.07.2006г. №190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 (далее – </w:t>
      </w:r>
      <w:bookmarkStart w:id="1" w:name="_Hlk27127347"/>
      <w:r w:rsidRPr="00422BED">
        <w:rPr>
          <w:rFonts w:ascii="Times New Roman" w:eastAsia="Calibri" w:hAnsi="Times New Roman" w:cs="Times New Roman"/>
          <w:sz w:val="20"/>
          <w:szCs w:val="20"/>
        </w:rPr>
        <w:t>Приказ Минэкономразвития России от 14.07.2006г. №190</w:t>
      </w:r>
      <w:bookmarkEnd w:id="1"/>
      <w:r w:rsidRPr="00422BED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**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</w:t>
      </w:r>
    </w:p>
    <w:p w:rsidR="00422BED" w:rsidRPr="00422BED" w:rsidRDefault="00422BED" w:rsidP="00422B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2BED" w:rsidRPr="00422BED" w:rsidRDefault="00422BED" w:rsidP="00422BED">
      <w:pPr>
        <w:numPr>
          <w:ilvl w:val="1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26528914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и выкуп земельных участков в границах территории муниципальных образований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и «город Екатеринбург» Свердловской области</w:t>
      </w:r>
      <w:bookmarkEnd w:id="2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2BED" w:rsidRPr="00422BED" w:rsidRDefault="00422BED" w:rsidP="00422BED">
      <w:pPr>
        <w:numPr>
          <w:ilvl w:val="2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Аренда и выкуп земельных участков в границах территории муниципальных образований </w:t>
      </w:r>
      <w:proofErr w:type="spellStart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Сысертский</w:t>
      </w:r>
      <w:proofErr w:type="spellEnd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городской округ и «город Екатеринбург», находящиеся в собственности Свердловской области. 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876"/>
        <w:gridCol w:w="4805"/>
        <w:gridCol w:w="4383"/>
      </w:tblGrid>
      <w:tr w:rsidR="00422BED" w:rsidRPr="00422BED" w:rsidTr="00A54A27">
        <w:trPr>
          <w:trHeight w:val="259"/>
        </w:trPr>
        <w:tc>
          <w:tcPr>
            <w:tcW w:w="876" w:type="dxa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5" w:type="dxa"/>
          </w:tcPr>
          <w:p w:rsidR="00422BED" w:rsidRPr="00422BED" w:rsidRDefault="00422BED" w:rsidP="00422BED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83" w:type="dxa"/>
          </w:tcPr>
          <w:p w:rsidR="00422BED" w:rsidRPr="00422BED" w:rsidRDefault="00422BED" w:rsidP="00422BED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22BED" w:rsidRPr="00422BED" w:rsidTr="00A54A27">
        <w:trPr>
          <w:trHeight w:val="70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4.2.1.1</w:t>
            </w:r>
          </w:p>
        </w:tc>
        <w:tc>
          <w:tcPr>
            <w:tcW w:w="4805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Аренда участка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Макс.: 68</w:t>
            </w: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512 руб./Га </w:t>
            </w:r>
            <w:r w:rsidRPr="00422BED">
              <w:rPr>
                <w:rFonts w:ascii="Times New Roman" w:hAnsi="Times New Roman"/>
                <w:sz w:val="24"/>
                <w:szCs w:val="24"/>
              </w:rPr>
              <w:t>в год*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Мин.: </w:t>
            </w: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30 956 руб./Га </w:t>
            </w:r>
            <w:r w:rsidRPr="00422BED">
              <w:rPr>
                <w:rFonts w:ascii="Times New Roman" w:hAnsi="Times New Roman"/>
                <w:sz w:val="24"/>
                <w:szCs w:val="24"/>
              </w:rPr>
              <w:t>в год *</w:t>
            </w:r>
          </w:p>
        </w:tc>
      </w:tr>
      <w:tr w:rsidR="00422BED" w:rsidRPr="00422BED" w:rsidTr="00A54A27">
        <w:trPr>
          <w:trHeight w:val="997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4.2.1.2</w:t>
            </w:r>
          </w:p>
        </w:tc>
        <w:tc>
          <w:tcPr>
            <w:tcW w:w="4805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Стоимость выкупа земельного участка после ввода в эксплуатацию объекта недвижимости, созданного резидентом на арендуемом земельном участке.</w:t>
            </w:r>
          </w:p>
        </w:tc>
        <w:tc>
          <w:tcPr>
            <w:tcW w:w="4383" w:type="dxa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7% от кадастровой стоимости **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_Hlk27069391"/>
      <w:r w:rsidRPr="00422BED">
        <w:rPr>
          <w:rFonts w:ascii="Times New Roman" w:eastAsia="Calibri" w:hAnsi="Times New Roman" w:cs="Times New Roman"/>
          <w:sz w:val="20"/>
          <w:szCs w:val="20"/>
        </w:rPr>
        <w:t xml:space="preserve"> * </w:t>
      </w:r>
      <w:proofErr w:type="gramStart"/>
      <w:r w:rsidRPr="00422BED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422BED">
        <w:rPr>
          <w:rFonts w:ascii="Times New Roman" w:eastAsia="Calibri" w:hAnsi="Times New Roman" w:cs="Times New Roman"/>
          <w:sz w:val="20"/>
          <w:szCs w:val="20"/>
        </w:rPr>
        <w:t xml:space="preserve"> соответствии Приказом Минэкономразвития России от 14.07.2006г. №190.</w:t>
      </w: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**</w:t>
      </w:r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422BED" w:rsidRPr="00422BED" w:rsidRDefault="00422BED" w:rsidP="00422B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4.2.2. Аренда и выкуп земельных участков </w:t>
      </w:r>
      <w:bookmarkStart w:id="4" w:name="_Hlk27127221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 границах территории муниципальных образований </w:t>
      </w:r>
      <w:proofErr w:type="spellStart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Сысертский</w:t>
      </w:r>
      <w:proofErr w:type="spellEnd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городской округ и «город Екатеринбург», находящихся в собственности </w:t>
      </w:r>
      <w:bookmarkEnd w:id="4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АО «ОЭЗ «Титановая долина».</w:t>
      </w:r>
    </w:p>
    <w:bookmarkEnd w:id="3"/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стоимость аренды земельных участков, находящихся в собственности АО «ОЭЗ «Титановая долина», расположенных на территории муниципальных образований </w:t>
      </w:r>
      <w:proofErr w:type="spellStart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 в первые три года с момента заключения договора аренды для всех резидентов составляет 50 000 рублей за 1 Га, без учета НДС и сохраняется в таком размере для резидентов, в соответствии с техническими требованиями которых АО «ОЭЗ «Титановая долина » возводило  производственные и/или производственно-складские помещения для дальнейшей передачи таким резидентам в аренду.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трехлетнего срока ежемесячная стоимость аренды составляет 200 000 рублей за 1 Га, без учета НДС.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в эксплуатацию созданных резидентом объектов недвижимости на территории ОЭЗ в</w:t>
      </w:r>
      <w:r w:rsidRPr="00422BED">
        <w:rPr>
          <w:rFonts w:ascii="Calibri" w:eastAsia="Calibri" w:hAnsi="Calibri" w:cs="Times New Roman"/>
        </w:rPr>
        <w:t xml:space="preserve"> </w:t>
      </w: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образованиях </w:t>
      </w:r>
      <w:proofErr w:type="spellStart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Екатеринбург», АО «ОЭЗ «Титановая долина» может быть рассмотрен вопрос о включении в договор аренды условий о выкупе арендуемого земельного участка или заключении договора купли-продажи земельного участка. Условия выкупа каждого земельного участка оговариваются индивидуально и определяются в соответствии с локальными нормативными актами АО «ОЭЗ «Титановая долина». </w:t>
      </w:r>
    </w:p>
    <w:p w:rsidR="00422BED" w:rsidRPr="00422BED" w:rsidRDefault="00422BED" w:rsidP="0042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 помещений под размещение производства, складов, офисов.</w:t>
      </w: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аренды помещений под размещение производства, складов, офисов формируется по запросу в зависимости от категории помещения и запрашиваемой площади.</w:t>
      </w:r>
    </w:p>
    <w:p w:rsidR="00422BED" w:rsidRPr="00422BED" w:rsidRDefault="00422BED" w:rsidP="00422BE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в муниципальном образовании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Верхнесалдинский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округ.</w:t>
      </w:r>
    </w:p>
    <w:p w:rsidR="00422BED" w:rsidRPr="00422BED" w:rsidRDefault="00422BED" w:rsidP="00422BE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5273"/>
      </w:tblGrid>
      <w:tr w:rsidR="00422BED" w:rsidRPr="00422BED" w:rsidTr="00A54A27">
        <w:tc>
          <w:tcPr>
            <w:tcW w:w="992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73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рублей/ м3 без НДС (тариф)* </w:t>
            </w:r>
          </w:p>
        </w:tc>
      </w:tr>
      <w:tr w:rsidR="00422BED" w:rsidRPr="00422BED" w:rsidTr="00A54A27">
        <w:tc>
          <w:tcPr>
            <w:tcW w:w="992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  <w:tc>
          <w:tcPr>
            <w:tcW w:w="5273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68,36</w:t>
            </w:r>
          </w:p>
        </w:tc>
      </w:tr>
      <w:tr w:rsidR="00422BED" w:rsidRPr="00422BED" w:rsidTr="00A54A27">
        <w:tc>
          <w:tcPr>
            <w:tcW w:w="992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99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5273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66,58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* </w:t>
      </w:r>
      <w:proofErr w:type="gramStart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соответствии со статусом гарантирующей организации централизованной системы водоснабжения и водоотведения на территории ОЭЗ в муниципальном образовании </w:t>
      </w:r>
      <w:proofErr w:type="spellStart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Верхнесалдинский</w:t>
      </w:r>
      <w:proofErr w:type="spellEnd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городской округ </w:t>
      </w:r>
    </w:p>
    <w:p w:rsidR="00422BED" w:rsidRPr="00422BED" w:rsidRDefault="00422BED" w:rsidP="00422BED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в муниципальных образованиях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и «город Екатеринбург» Свердловской области.</w:t>
      </w:r>
    </w:p>
    <w:p w:rsidR="00422BED" w:rsidRPr="00422BED" w:rsidRDefault="00422BED" w:rsidP="00422BE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4848"/>
      </w:tblGrid>
      <w:tr w:rsidR="00422BED" w:rsidRPr="00422BED" w:rsidTr="00A54A27">
        <w:tc>
          <w:tcPr>
            <w:tcW w:w="992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8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Стоимость, рублей/Гкал без НДС (тариф)**</w:t>
            </w:r>
          </w:p>
        </w:tc>
      </w:tr>
      <w:tr w:rsidR="00422BED" w:rsidRPr="00422BED" w:rsidTr="00A54A27">
        <w:tc>
          <w:tcPr>
            <w:tcW w:w="992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848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1805,26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** </w:t>
      </w:r>
      <w:proofErr w:type="gramStart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соответствии со статусом теплоснабжающей организации на территории ОЭЗ в Муниципальном образовании «город Екатеринбург»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электроснабжение, газоснабжение, производственно-противопожарное водоснабжение резидент самостоятельно заключает договоры с </w:t>
      </w:r>
      <w:proofErr w:type="spellStart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ресурсоснабжающими</w:t>
      </w:r>
      <w:proofErr w:type="spellEnd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организациями по тарифам, утвержденными Региональной энергетической комиссией Свердловской области и Федеральной антимонопольной службой России.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расчета ТЭО и финансовой модели проекта компаниям – потенциальным резидентам </w:t>
      </w:r>
      <w:proofErr w:type="spellStart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справочно</w:t>
      </w:r>
      <w:proofErr w:type="spellEnd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предоставляются данные по статистике цен на энергоресурсы в Свердловской области за фактический период на дату запроса.</w:t>
      </w:r>
    </w:p>
    <w:p w:rsidR="00DF7208" w:rsidRPr="00DF7208" w:rsidRDefault="00DF7208" w:rsidP="00D968CE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7. </w:t>
      </w:r>
      <w:r w:rsidRPr="00D968C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Оформление многоразовых электронных пропусков для обеспечения пропускного режима на территории ОЭЗ в муниципальном образовании </w:t>
      </w:r>
      <w:proofErr w:type="spellStart"/>
      <w:r w:rsidRPr="00D968C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Верхнесалдинский</w:t>
      </w:r>
      <w:proofErr w:type="spellEnd"/>
      <w:r w:rsidRPr="00D968C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городской округ.</w:t>
      </w:r>
    </w:p>
    <w:p w:rsidR="00DF7208" w:rsidRPr="00DF7208" w:rsidRDefault="00DF7208" w:rsidP="00DF7208">
      <w:pPr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137" w:type="dxa"/>
        <w:tblLook w:val="04A0" w:firstRow="1" w:lastRow="0" w:firstColumn="1" w:lastColumn="0" w:noHBand="0" w:noVBand="1"/>
      </w:tblPr>
      <w:tblGrid>
        <w:gridCol w:w="752"/>
        <w:gridCol w:w="6761"/>
        <w:gridCol w:w="2552"/>
      </w:tblGrid>
      <w:tr w:rsidR="00DF7208" w:rsidRPr="00DF7208" w:rsidTr="00D968CE">
        <w:tc>
          <w:tcPr>
            <w:tcW w:w="752" w:type="dxa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61" w:type="dxa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0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08">
              <w:rPr>
                <w:rFonts w:ascii="Times New Roman" w:hAnsi="Times New Roman"/>
                <w:b/>
                <w:sz w:val="24"/>
                <w:szCs w:val="24"/>
              </w:rPr>
              <w:t>Стоимость, руб./шт.</w:t>
            </w:r>
          </w:p>
        </w:tc>
      </w:tr>
      <w:tr w:rsidR="00DF7208" w:rsidRPr="00DF7208" w:rsidTr="00D968CE">
        <w:tc>
          <w:tcPr>
            <w:tcW w:w="752" w:type="dxa"/>
            <w:vAlign w:val="center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1" w:type="dxa"/>
            <w:vAlign w:val="center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>Оформление многоразового электронного пропуска</w:t>
            </w:r>
          </w:p>
        </w:tc>
        <w:tc>
          <w:tcPr>
            <w:tcW w:w="2552" w:type="dxa"/>
            <w:vAlign w:val="center"/>
          </w:tcPr>
          <w:p w:rsidR="00DF7208" w:rsidRPr="00DF7208" w:rsidRDefault="00DF7208" w:rsidP="00B1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7208" w:rsidRPr="00DF7208" w:rsidTr="00D968CE">
        <w:tc>
          <w:tcPr>
            <w:tcW w:w="752" w:type="dxa"/>
            <w:vAlign w:val="center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  <w:vAlign w:val="center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pacing w:val="-6"/>
                <w:sz w:val="24"/>
                <w:szCs w:val="24"/>
              </w:rPr>
              <w:t>Повторное оформление многоразового электронного пропуска взамен утраченного или по истечению срока действия (3 года)</w:t>
            </w:r>
          </w:p>
        </w:tc>
        <w:tc>
          <w:tcPr>
            <w:tcW w:w="2552" w:type="dxa"/>
            <w:vAlign w:val="center"/>
          </w:tcPr>
          <w:p w:rsidR="00DF7208" w:rsidRPr="00DF7208" w:rsidRDefault="00DF7208" w:rsidP="00B1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7208" w:rsidRPr="00DF7208" w:rsidTr="00D968CE">
        <w:tc>
          <w:tcPr>
            <w:tcW w:w="752" w:type="dxa"/>
            <w:vAlign w:val="center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1" w:type="dxa"/>
            <w:vAlign w:val="center"/>
          </w:tcPr>
          <w:p w:rsidR="00DF7208" w:rsidRPr="00DF7208" w:rsidRDefault="00DF7208" w:rsidP="00B1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 xml:space="preserve">Оформление многоразового пропуска при условии предоставления пластиковой карты </w:t>
            </w:r>
          </w:p>
        </w:tc>
        <w:tc>
          <w:tcPr>
            <w:tcW w:w="2552" w:type="dxa"/>
            <w:vAlign w:val="center"/>
          </w:tcPr>
          <w:p w:rsidR="00DF7208" w:rsidRPr="00DF7208" w:rsidRDefault="00DF7208" w:rsidP="00B1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GoBack"/>
      <w:bookmarkEnd w:id="5"/>
      <w:r w:rsidRPr="00422B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АО «ОЭЗ «Титановая долина» обращает внимание на то, что настоящий Прейскурант не является публичной офертой.</w:t>
      </w: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Окончательная стоимость каждой конкретной работы, услуги определяется в зависимости от объема, срока, сложности работ, услуг и устанавливается договором.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в настоящем Прейскуранте услуги, работы оказываются юридическим лицам – резидентам (потенциальным резидентам) ОЭЗ, иным юридическим лицам, при наличии соответствующей возможности АО «ОЭЗ «Титановая долина».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запросу возможно оказание иных услуг, работ, не указанных в Прейскуранте, при наличии соответствующей возможности АО «ОЭЗ «Титановая долина».</w:t>
      </w:r>
    </w:p>
    <w:p w:rsidR="0062696E" w:rsidRDefault="007E48D8"/>
    <w:sectPr w:rsidR="0062696E" w:rsidSect="00422B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543"/>
    <w:multiLevelType w:val="multilevel"/>
    <w:tmpl w:val="DFB00E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61"/>
    <w:rsid w:val="00422BED"/>
    <w:rsid w:val="007E48D8"/>
    <w:rsid w:val="008756E8"/>
    <w:rsid w:val="00985361"/>
    <w:rsid w:val="00B83F2B"/>
    <w:rsid w:val="00D968CE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FE0F-F9CA-4095-B626-2BC9B84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2B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Салтыкова</dc:creator>
  <cp:keywords/>
  <dc:description/>
  <cp:lastModifiedBy>Анна Салтыкова</cp:lastModifiedBy>
  <cp:revision>2</cp:revision>
  <dcterms:created xsi:type="dcterms:W3CDTF">2023-04-24T04:47:00Z</dcterms:created>
  <dcterms:modified xsi:type="dcterms:W3CDTF">2023-04-24T04:47:00Z</dcterms:modified>
</cp:coreProperties>
</file>